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286BD" w14:textId="77777777" w:rsidR="00C3423D" w:rsidRDefault="00C3423D" w:rsidP="00C3423D">
      <w:pPr>
        <w:spacing w:line="360" w:lineRule="auto"/>
        <w:jc w:val="left"/>
        <w:outlineLvl w:val="0"/>
        <w:rPr>
          <w:rFonts w:ascii="黑体" w:eastAsia="黑体" w:hAnsi="华文细黑" w:hint="eastAsia"/>
          <w:sz w:val="24"/>
        </w:rPr>
      </w:pPr>
      <w:r>
        <w:rPr>
          <w:rFonts w:ascii="黑体" w:eastAsia="黑体" w:hAnsi="华文细黑" w:hint="eastAsia"/>
          <w:sz w:val="24"/>
        </w:rPr>
        <w:t>附件1</w:t>
      </w:r>
    </w:p>
    <w:p w14:paraId="6A77D819" w14:textId="77777777" w:rsidR="00C3423D" w:rsidRDefault="00C3423D" w:rsidP="00C3423D">
      <w:pPr>
        <w:spacing w:beforeLines="50" w:before="156" w:line="360" w:lineRule="auto"/>
        <w:jc w:val="center"/>
        <w:rPr>
          <w:rFonts w:ascii="黑体" w:eastAsia="黑体"/>
          <w:sz w:val="28"/>
        </w:rPr>
      </w:pPr>
      <w:r>
        <w:rPr>
          <w:rFonts w:ascii="黑体" w:eastAsia="黑体" w:hint="eastAsia"/>
          <w:sz w:val="28"/>
        </w:rPr>
        <w:t>中国造船工程学会标准制修订项目立项申请书</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71"/>
        <w:gridCol w:w="850"/>
        <w:gridCol w:w="851"/>
        <w:gridCol w:w="3383"/>
      </w:tblGrid>
      <w:tr w:rsidR="00C3423D" w14:paraId="3B2E799D" w14:textId="77777777" w:rsidTr="00716538">
        <w:trPr>
          <w:trHeight w:val="605"/>
          <w:jc w:val="center"/>
        </w:trPr>
        <w:tc>
          <w:tcPr>
            <w:tcW w:w="1980" w:type="dxa"/>
            <w:vAlign w:val="center"/>
          </w:tcPr>
          <w:p w14:paraId="12AA3650" w14:textId="77777777" w:rsidR="00C3423D" w:rsidRDefault="00C3423D" w:rsidP="00716538">
            <w:pPr>
              <w:rPr>
                <w:sz w:val="24"/>
              </w:rPr>
            </w:pPr>
            <w:r>
              <w:rPr>
                <w:rFonts w:hint="eastAsia"/>
                <w:sz w:val="24"/>
              </w:rPr>
              <w:t>项目名称（中文）</w:t>
            </w:r>
          </w:p>
        </w:tc>
        <w:tc>
          <w:tcPr>
            <w:tcW w:w="7255" w:type="dxa"/>
            <w:gridSpan w:val="4"/>
            <w:vAlign w:val="center"/>
          </w:tcPr>
          <w:p w14:paraId="26F25EE0" w14:textId="3D4DD858" w:rsidR="00C3423D" w:rsidRDefault="00F80425" w:rsidP="00716538">
            <w:pPr>
              <w:jc w:val="center"/>
              <w:rPr>
                <w:sz w:val="24"/>
              </w:rPr>
            </w:pPr>
            <w:r w:rsidRPr="00F80425">
              <w:rPr>
                <w:rFonts w:hint="eastAsia"/>
                <w:sz w:val="24"/>
              </w:rPr>
              <w:t>深海采矿环境影响监测要求</w:t>
            </w:r>
          </w:p>
        </w:tc>
      </w:tr>
      <w:tr w:rsidR="00C3423D" w14:paraId="14F759CF" w14:textId="77777777" w:rsidTr="00716538">
        <w:trPr>
          <w:trHeight w:val="605"/>
          <w:jc w:val="center"/>
        </w:trPr>
        <w:tc>
          <w:tcPr>
            <w:tcW w:w="1980" w:type="dxa"/>
            <w:vAlign w:val="center"/>
          </w:tcPr>
          <w:p w14:paraId="00FC4565" w14:textId="77777777" w:rsidR="00C3423D" w:rsidRDefault="00C3423D" w:rsidP="00716538">
            <w:pPr>
              <w:rPr>
                <w:sz w:val="24"/>
              </w:rPr>
            </w:pPr>
            <w:r>
              <w:rPr>
                <w:rFonts w:hint="eastAsia"/>
                <w:sz w:val="24"/>
              </w:rPr>
              <w:t>项目名称（英文）</w:t>
            </w:r>
          </w:p>
        </w:tc>
        <w:tc>
          <w:tcPr>
            <w:tcW w:w="7255" w:type="dxa"/>
            <w:gridSpan w:val="4"/>
            <w:vAlign w:val="center"/>
          </w:tcPr>
          <w:p w14:paraId="68FEE07F" w14:textId="2CDB2E86" w:rsidR="00C3423D" w:rsidRDefault="00F80425" w:rsidP="00716538">
            <w:pPr>
              <w:jc w:val="center"/>
              <w:rPr>
                <w:sz w:val="24"/>
              </w:rPr>
            </w:pPr>
            <w:r w:rsidRPr="00F80425">
              <w:rPr>
                <w:sz w:val="24"/>
              </w:rPr>
              <w:t>Requirements for Environmental Impact Monitoring of Deep-Sea Mining</w:t>
            </w:r>
          </w:p>
        </w:tc>
      </w:tr>
      <w:tr w:rsidR="00C3423D" w14:paraId="11CE5507" w14:textId="77777777" w:rsidTr="00716538">
        <w:trPr>
          <w:trHeight w:val="540"/>
          <w:jc w:val="center"/>
        </w:trPr>
        <w:tc>
          <w:tcPr>
            <w:tcW w:w="1980" w:type="dxa"/>
            <w:vAlign w:val="center"/>
          </w:tcPr>
          <w:p w14:paraId="703D07D4" w14:textId="77777777" w:rsidR="00C3423D" w:rsidRDefault="00C3423D" w:rsidP="00716538">
            <w:pPr>
              <w:jc w:val="center"/>
              <w:rPr>
                <w:sz w:val="24"/>
              </w:rPr>
            </w:pPr>
            <w:r>
              <w:rPr>
                <w:rFonts w:hint="eastAsia"/>
                <w:sz w:val="24"/>
              </w:rPr>
              <w:t>制修订</w:t>
            </w:r>
          </w:p>
        </w:tc>
        <w:tc>
          <w:tcPr>
            <w:tcW w:w="2171" w:type="dxa"/>
            <w:vAlign w:val="center"/>
          </w:tcPr>
          <w:p w14:paraId="7062419B" w14:textId="34BD50E3" w:rsidR="00C3423D" w:rsidRDefault="00F80425" w:rsidP="00716538">
            <w:pPr>
              <w:jc w:val="center"/>
              <w:rPr>
                <w:sz w:val="24"/>
              </w:rPr>
            </w:pPr>
            <w:r>
              <w:rPr>
                <w:rFonts w:hAnsiTheme="minorEastAsia" w:hint="eastAsia"/>
                <w:sz w:val="24"/>
              </w:rPr>
              <w:sym w:font="Wingdings" w:char="F0FE"/>
            </w:r>
            <w:r w:rsidR="00C3423D">
              <w:rPr>
                <w:rFonts w:hAnsiTheme="minorEastAsia" w:hint="eastAsia"/>
                <w:sz w:val="24"/>
              </w:rPr>
              <w:t>制定   □修订</w:t>
            </w:r>
          </w:p>
        </w:tc>
        <w:tc>
          <w:tcPr>
            <w:tcW w:w="1701" w:type="dxa"/>
            <w:gridSpan w:val="2"/>
            <w:vAlign w:val="center"/>
          </w:tcPr>
          <w:p w14:paraId="047BBF3D" w14:textId="77777777" w:rsidR="00C3423D" w:rsidRDefault="00C3423D" w:rsidP="00716538">
            <w:pPr>
              <w:jc w:val="center"/>
              <w:rPr>
                <w:sz w:val="24"/>
              </w:rPr>
            </w:pPr>
            <w:r>
              <w:rPr>
                <w:rFonts w:hint="eastAsia"/>
                <w:sz w:val="24"/>
              </w:rPr>
              <w:t>被修订标准号</w:t>
            </w:r>
          </w:p>
        </w:tc>
        <w:tc>
          <w:tcPr>
            <w:tcW w:w="3383" w:type="dxa"/>
            <w:vAlign w:val="center"/>
          </w:tcPr>
          <w:p w14:paraId="1A64383E" w14:textId="5A84DDBA" w:rsidR="00C3423D" w:rsidRDefault="00C3423D" w:rsidP="00716538">
            <w:pPr>
              <w:rPr>
                <w:sz w:val="24"/>
              </w:rPr>
            </w:pPr>
            <w:r>
              <w:rPr>
                <w:rFonts w:hint="eastAsia"/>
                <w:sz w:val="24"/>
              </w:rPr>
              <w:t xml:space="preserve">  </w:t>
            </w:r>
            <w:r w:rsidR="007F228C">
              <w:rPr>
                <w:rFonts w:hint="eastAsia"/>
                <w:sz w:val="24"/>
              </w:rPr>
              <w:t>/</w:t>
            </w:r>
          </w:p>
        </w:tc>
      </w:tr>
      <w:tr w:rsidR="00C3423D" w14:paraId="7CCBAC3C" w14:textId="77777777" w:rsidTr="00716538">
        <w:trPr>
          <w:trHeight w:val="540"/>
          <w:jc w:val="center"/>
        </w:trPr>
        <w:tc>
          <w:tcPr>
            <w:tcW w:w="1980" w:type="dxa"/>
            <w:vAlign w:val="center"/>
          </w:tcPr>
          <w:p w14:paraId="33A0B15B" w14:textId="77777777" w:rsidR="00C3423D" w:rsidRDefault="00C3423D" w:rsidP="00716538">
            <w:pPr>
              <w:jc w:val="center"/>
              <w:rPr>
                <w:sz w:val="24"/>
              </w:rPr>
            </w:pPr>
            <w:r>
              <w:rPr>
                <w:rFonts w:hint="eastAsia"/>
                <w:sz w:val="24"/>
              </w:rPr>
              <w:t>被修订标准名称</w:t>
            </w:r>
          </w:p>
        </w:tc>
        <w:tc>
          <w:tcPr>
            <w:tcW w:w="2171" w:type="dxa"/>
            <w:vAlign w:val="center"/>
          </w:tcPr>
          <w:p w14:paraId="36C0B24C" w14:textId="77777777" w:rsidR="00C3423D" w:rsidRPr="003F0615" w:rsidRDefault="003F0615" w:rsidP="003F0615">
            <w:pPr>
              <w:rPr>
                <w:rFonts w:hAnsiTheme="minorEastAsia" w:hint="eastAsia"/>
                <w:i/>
                <w:iCs/>
                <w:sz w:val="24"/>
                <w:highlight w:val="yellow"/>
              </w:rPr>
            </w:pPr>
            <w:r w:rsidRPr="003F0615">
              <w:rPr>
                <w:rFonts w:hAnsiTheme="minorEastAsia" w:hint="eastAsia"/>
                <w:i/>
                <w:iCs/>
                <w:sz w:val="24"/>
                <w:highlight w:val="yellow"/>
              </w:rPr>
              <w:t>（限本学会</w:t>
            </w:r>
            <w:r w:rsidR="00FC22B1">
              <w:rPr>
                <w:rFonts w:hAnsiTheme="minorEastAsia" w:hint="eastAsia"/>
                <w:i/>
                <w:iCs/>
                <w:sz w:val="24"/>
                <w:highlight w:val="yellow"/>
              </w:rPr>
              <w:t>标准</w:t>
            </w:r>
            <w:r w:rsidRPr="003F0615">
              <w:rPr>
                <w:rFonts w:hAnsiTheme="minorEastAsia" w:hint="eastAsia"/>
                <w:i/>
                <w:iCs/>
                <w:sz w:val="24"/>
                <w:highlight w:val="yellow"/>
              </w:rPr>
              <w:t>）</w:t>
            </w:r>
          </w:p>
        </w:tc>
        <w:tc>
          <w:tcPr>
            <w:tcW w:w="1701" w:type="dxa"/>
            <w:gridSpan w:val="2"/>
            <w:vAlign w:val="center"/>
          </w:tcPr>
          <w:p w14:paraId="1984D6F8" w14:textId="77777777" w:rsidR="00C3423D" w:rsidRDefault="00C3423D" w:rsidP="00716538">
            <w:pPr>
              <w:jc w:val="center"/>
              <w:rPr>
                <w:sz w:val="24"/>
              </w:rPr>
            </w:pPr>
            <w:r>
              <w:rPr>
                <w:rFonts w:hint="eastAsia"/>
                <w:sz w:val="24"/>
              </w:rPr>
              <w:t>编制周期</w:t>
            </w:r>
          </w:p>
        </w:tc>
        <w:tc>
          <w:tcPr>
            <w:tcW w:w="3383" w:type="dxa"/>
            <w:vAlign w:val="center"/>
          </w:tcPr>
          <w:p w14:paraId="183794E7" w14:textId="49689ECE" w:rsidR="00C3423D" w:rsidRDefault="00F80425" w:rsidP="00716538">
            <w:pPr>
              <w:rPr>
                <w:rFonts w:hAnsiTheme="minorEastAsia" w:hint="eastAsia"/>
                <w:sz w:val="24"/>
              </w:rPr>
            </w:pPr>
            <w:r>
              <w:rPr>
                <w:rFonts w:hAnsiTheme="minorEastAsia" w:hint="eastAsia"/>
                <w:sz w:val="24"/>
              </w:rPr>
              <w:sym w:font="Wingdings" w:char="F0FE"/>
            </w:r>
            <w:r w:rsidR="00C3423D">
              <w:rPr>
                <w:rFonts w:hAnsiTheme="minorEastAsia" w:hint="eastAsia"/>
                <w:sz w:val="24"/>
              </w:rPr>
              <w:t xml:space="preserve">12个月  □18个月   </w:t>
            </w:r>
          </w:p>
          <w:p w14:paraId="27582D39" w14:textId="77777777" w:rsidR="00C3423D" w:rsidRDefault="00C3423D" w:rsidP="00716538">
            <w:pPr>
              <w:rPr>
                <w:sz w:val="24"/>
              </w:rPr>
            </w:pPr>
            <w:r>
              <w:rPr>
                <w:rFonts w:hAnsiTheme="minorEastAsia" w:hint="eastAsia"/>
                <w:sz w:val="24"/>
              </w:rPr>
              <w:t>□其他</w:t>
            </w:r>
            <w:r>
              <w:rPr>
                <w:rFonts w:hAnsiTheme="minorEastAsia" w:hint="eastAsia"/>
                <w:sz w:val="24"/>
                <w:u w:val="single"/>
              </w:rPr>
              <w:t xml:space="preserve">         </w:t>
            </w:r>
          </w:p>
        </w:tc>
      </w:tr>
      <w:tr w:rsidR="00C3423D" w14:paraId="069175A7" w14:textId="77777777" w:rsidTr="00716538">
        <w:trPr>
          <w:trHeight w:val="548"/>
          <w:jc w:val="center"/>
        </w:trPr>
        <w:tc>
          <w:tcPr>
            <w:tcW w:w="1980" w:type="dxa"/>
            <w:vAlign w:val="center"/>
          </w:tcPr>
          <w:p w14:paraId="2C9B7368" w14:textId="77777777" w:rsidR="00C3423D" w:rsidRDefault="00C3423D" w:rsidP="00716538">
            <w:pPr>
              <w:jc w:val="center"/>
              <w:rPr>
                <w:sz w:val="24"/>
              </w:rPr>
            </w:pPr>
            <w:r>
              <w:rPr>
                <w:rFonts w:hint="eastAsia"/>
                <w:sz w:val="24"/>
              </w:rPr>
              <w:t>起草单位</w:t>
            </w:r>
          </w:p>
          <w:p w14:paraId="62A72F20" w14:textId="77777777" w:rsidR="00C3423D" w:rsidRDefault="00C3423D" w:rsidP="00716538">
            <w:pPr>
              <w:jc w:val="center"/>
              <w:rPr>
                <w:sz w:val="24"/>
              </w:rPr>
            </w:pPr>
            <w:r>
              <w:rPr>
                <w:rFonts w:hint="eastAsia"/>
                <w:sz w:val="24"/>
              </w:rPr>
              <w:t>（不少于3家）</w:t>
            </w:r>
          </w:p>
        </w:tc>
        <w:tc>
          <w:tcPr>
            <w:tcW w:w="7255" w:type="dxa"/>
            <w:gridSpan w:val="4"/>
            <w:vAlign w:val="center"/>
          </w:tcPr>
          <w:p w14:paraId="42C7D05E" w14:textId="3CC69A62" w:rsidR="00C3423D" w:rsidRDefault="00F80425" w:rsidP="00716538">
            <w:pPr>
              <w:jc w:val="center"/>
              <w:rPr>
                <w:sz w:val="24"/>
              </w:rPr>
            </w:pPr>
            <w:r w:rsidRPr="00F80425">
              <w:rPr>
                <w:rFonts w:hint="eastAsia"/>
                <w:sz w:val="24"/>
              </w:rPr>
              <w:t>中国船舶集团</w:t>
            </w:r>
            <w:r>
              <w:rPr>
                <w:rFonts w:hint="eastAsia"/>
                <w:sz w:val="24"/>
              </w:rPr>
              <w:t>有限公司</w:t>
            </w:r>
            <w:r w:rsidRPr="00F80425">
              <w:rPr>
                <w:rFonts w:hint="eastAsia"/>
                <w:sz w:val="24"/>
              </w:rPr>
              <w:t>第七〇四研究所</w:t>
            </w:r>
            <w:r>
              <w:rPr>
                <w:rFonts w:hint="eastAsia"/>
                <w:sz w:val="24"/>
              </w:rPr>
              <w:t>（其它待补充）</w:t>
            </w:r>
          </w:p>
        </w:tc>
      </w:tr>
      <w:tr w:rsidR="00C3423D" w14:paraId="7FE32D23" w14:textId="77777777" w:rsidTr="00716538">
        <w:trPr>
          <w:trHeight w:val="548"/>
          <w:jc w:val="center"/>
        </w:trPr>
        <w:tc>
          <w:tcPr>
            <w:tcW w:w="1980" w:type="dxa"/>
            <w:vAlign w:val="center"/>
          </w:tcPr>
          <w:p w14:paraId="155B306F" w14:textId="77777777" w:rsidR="00C3423D" w:rsidRDefault="00C3423D" w:rsidP="00716538">
            <w:pPr>
              <w:jc w:val="center"/>
              <w:rPr>
                <w:sz w:val="24"/>
              </w:rPr>
            </w:pPr>
            <w:r>
              <w:rPr>
                <w:rFonts w:hint="eastAsia"/>
                <w:sz w:val="24"/>
              </w:rPr>
              <w:t>联系人</w:t>
            </w:r>
          </w:p>
        </w:tc>
        <w:tc>
          <w:tcPr>
            <w:tcW w:w="2171" w:type="dxa"/>
            <w:vAlign w:val="center"/>
          </w:tcPr>
          <w:p w14:paraId="665DBE9B" w14:textId="45B1F0EC" w:rsidR="00C3423D" w:rsidRDefault="00F80425" w:rsidP="00716538">
            <w:pPr>
              <w:jc w:val="center"/>
              <w:rPr>
                <w:sz w:val="24"/>
              </w:rPr>
            </w:pPr>
            <w:r>
              <w:rPr>
                <w:rFonts w:hint="eastAsia"/>
                <w:sz w:val="24"/>
              </w:rPr>
              <w:t>杨咏</w:t>
            </w:r>
          </w:p>
        </w:tc>
        <w:tc>
          <w:tcPr>
            <w:tcW w:w="850" w:type="dxa"/>
            <w:vAlign w:val="center"/>
          </w:tcPr>
          <w:p w14:paraId="35662790" w14:textId="77777777" w:rsidR="00C3423D" w:rsidRDefault="00C3423D" w:rsidP="00716538">
            <w:pPr>
              <w:jc w:val="center"/>
              <w:rPr>
                <w:sz w:val="24"/>
              </w:rPr>
            </w:pPr>
            <w:r>
              <w:rPr>
                <w:rFonts w:hint="eastAsia"/>
                <w:sz w:val="24"/>
              </w:rPr>
              <w:t>地址</w:t>
            </w:r>
          </w:p>
        </w:tc>
        <w:tc>
          <w:tcPr>
            <w:tcW w:w="4234" w:type="dxa"/>
            <w:gridSpan w:val="2"/>
            <w:vAlign w:val="center"/>
          </w:tcPr>
          <w:p w14:paraId="2B087E54" w14:textId="3F0E789D" w:rsidR="00C3423D" w:rsidRDefault="00F80425" w:rsidP="00716538">
            <w:pPr>
              <w:jc w:val="center"/>
              <w:rPr>
                <w:sz w:val="24"/>
              </w:rPr>
            </w:pPr>
            <w:r>
              <w:rPr>
                <w:rFonts w:hint="eastAsia"/>
                <w:sz w:val="24"/>
              </w:rPr>
              <w:t>上海市衡山路10号</w:t>
            </w:r>
          </w:p>
        </w:tc>
      </w:tr>
      <w:tr w:rsidR="00C3423D" w14:paraId="65A445F6" w14:textId="77777777" w:rsidTr="00716538">
        <w:trPr>
          <w:trHeight w:val="548"/>
          <w:jc w:val="center"/>
        </w:trPr>
        <w:tc>
          <w:tcPr>
            <w:tcW w:w="1980" w:type="dxa"/>
            <w:vAlign w:val="center"/>
          </w:tcPr>
          <w:p w14:paraId="494782A3" w14:textId="77777777" w:rsidR="00C3423D" w:rsidRDefault="00C3423D" w:rsidP="00716538">
            <w:pPr>
              <w:jc w:val="center"/>
              <w:rPr>
                <w:sz w:val="24"/>
              </w:rPr>
            </w:pPr>
            <w:r>
              <w:rPr>
                <w:rFonts w:hint="eastAsia"/>
                <w:sz w:val="24"/>
              </w:rPr>
              <w:t>电话</w:t>
            </w:r>
          </w:p>
        </w:tc>
        <w:tc>
          <w:tcPr>
            <w:tcW w:w="2171" w:type="dxa"/>
            <w:vAlign w:val="center"/>
          </w:tcPr>
          <w:p w14:paraId="576B88D8" w14:textId="60E7B587" w:rsidR="00C3423D" w:rsidRDefault="00F80425" w:rsidP="00716538">
            <w:pPr>
              <w:jc w:val="center"/>
              <w:rPr>
                <w:sz w:val="24"/>
              </w:rPr>
            </w:pPr>
            <w:r>
              <w:rPr>
                <w:rFonts w:hint="eastAsia"/>
                <w:sz w:val="24"/>
              </w:rPr>
              <w:t>13661978686</w:t>
            </w:r>
          </w:p>
        </w:tc>
        <w:tc>
          <w:tcPr>
            <w:tcW w:w="850" w:type="dxa"/>
            <w:vAlign w:val="center"/>
          </w:tcPr>
          <w:p w14:paraId="536DBA4F" w14:textId="77777777" w:rsidR="00C3423D" w:rsidRDefault="00C3423D" w:rsidP="00716538">
            <w:pPr>
              <w:jc w:val="center"/>
              <w:rPr>
                <w:sz w:val="24"/>
              </w:rPr>
            </w:pPr>
            <w:r>
              <w:rPr>
                <w:rFonts w:hint="eastAsia"/>
                <w:sz w:val="24"/>
              </w:rPr>
              <w:t>邮箱</w:t>
            </w:r>
          </w:p>
        </w:tc>
        <w:tc>
          <w:tcPr>
            <w:tcW w:w="4234" w:type="dxa"/>
            <w:gridSpan w:val="2"/>
            <w:vAlign w:val="center"/>
          </w:tcPr>
          <w:p w14:paraId="33913B7F" w14:textId="66BC2382" w:rsidR="00C3423D" w:rsidRDefault="00F80425" w:rsidP="00716538">
            <w:pPr>
              <w:jc w:val="center"/>
              <w:rPr>
                <w:sz w:val="24"/>
              </w:rPr>
            </w:pPr>
            <w:r>
              <w:rPr>
                <w:rFonts w:hint="eastAsia"/>
                <w:sz w:val="24"/>
              </w:rPr>
              <w:t>zhgl_nerc@163.com</w:t>
            </w:r>
          </w:p>
        </w:tc>
      </w:tr>
      <w:tr w:rsidR="00C3423D" w14:paraId="75F355A1" w14:textId="77777777" w:rsidTr="00505991">
        <w:trPr>
          <w:trHeight w:val="960"/>
          <w:jc w:val="center"/>
        </w:trPr>
        <w:tc>
          <w:tcPr>
            <w:tcW w:w="1980" w:type="dxa"/>
            <w:vAlign w:val="center"/>
          </w:tcPr>
          <w:p w14:paraId="6A1CCB80" w14:textId="77777777" w:rsidR="00C3423D" w:rsidRDefault="00C3423D" w:rsidP="00716538">
            <w:pPr>
              <w:jc w:val="center"/>
              <w:rPr>
                <w:sz w:val="24"/>
              </w:rPr>
            </w:pPr>
            <w:r>
              <w:rPr>
                <w:rFonts w:hint="eastAsia"/>
                <w:sz w:val="24"/>
              </w:rPr>
              <w:t>技术与市场</w:t>
            </w:r>
          </w:p>
          <w:p w14:paraId="6DB7E53C" w14:textId="77777777" w:rsidR="00C3423D" w:rsidRDefault="00C3423D" w:rsidP="00716538">
            <w:pPr>
              <w:jc w:val="center"/>
              <w:rPr>
                <w:sz w:val="24"/>
              </w:rPr>
            </w:pPr>
            <w:r>
              <w:rPr>
                <w:rFonts w:hint="eastAsia"/>
                <w:sz w:val="24"/>
              </w:rPr>
              <w:t>发展背景</w:t>
            </w:r>
          </w:p>
        </w:tc>
        <w:tc>
          <w:tcPr>
            <w:tcW w:w="7255" w:type="dxa"/>
            <w:gridSpan w:val="4"/>
            <w:vAlign w:val="center"/>
          </w:tcPr>
          <w:p w14:paraId="46CFA67E" w14:textId="77777777" w:rsidR="00F80425" w:rsidRPr="00F80425" w:rsidRDefault="00F80425" w:rsidP="00F80425">
            <w:pPr>
              <w:rPr>
                <w:sz w:val="24"/>
              </w:rPr>
            </w:pPr>
            <w:r w:rsidRPr="00F80425">
              <w:rPr>
                <w:rFonts w:hint="eastAsia"/>
                <w:sz w:val="24"/>
              </w:rPr>
              <w:t>深海矿产开发步入试采—示范阶段，产业链对应形成基线—施工期—停采后全生命周期环境管理需求。典型环境作用链包括：船舶/动力系统排放、回水与处理水排放、近底或中层排放口羽流的三维扩散与再沉积、作业噪声与振动、夜间光源、生物群落结构变化及食物网传递的潜在富集效应等。若缺乏统一监测技术要求，项目间数据不可比、不可核查，EIA/EIS 及合规监测难以闭环，企业与监管均面临合规和声誉风险与不确定成本。</w:t>
            </w:r>
          </w:p>
          <w:p w14:paraId="42E212AD" w14:textId="2732F77B" w:rsidR="00C3423D" w:rsidRPr="00F80425" w:rsidRDefault="00F80425" w:rsidP="00F80425">
            <w:pPr>
              <w:rPr>
                <w:sz w:val="24"/>
              </w:rPr>
            </w:pPr>
            <w:r w:rsidRPr="00F80425">
              <w:rPr>
                <w:rFonts w:hint="eastAsia"/>
                <w:sz w:val="24"/>
              </w:rPr>
              <w:t>本标准拟面向工程化落地，将监测要素、布点与频次、仪器/方法、数据处理与质控、报告模板系统化，降低项目沟通与审查成本，提升数据互认性与监管可执行性。该方向已在既有草案中建立体系化条目，具备转化为团体标准的基础。</w:t>
            </w:r>
          </w:p>
        </w:tc>
      </w:tr>
      <w:tr w:rsidR="00C3423D" w14:paraId="74E784BC" w14:textId="77777777" w:rsidTr="00505991">
        <w:trPr>
          <w:trHeight w:val="673"/>
          <w:jc w:val="center"/>
        </w:trPr>
        <w:tc>
          <w:tcPr>
            <w:tcW w:w="1980" w:type="dxa"/>
            <w:vAlign w:val="center"/>
          </w:tcPr>
          <w:p w14:paraId="1328F914" w14:textId="77777777" w:rsidR="00C3423D" w:rsidRDefault="00C3423D" w:rsidP="00716538">
            <w:pPr>
              <w:jc w:val="center"/>
              <w:rPr>
                <w:sz w:val="24"/>
              </w:rPr>
            </w:pPr>
            <w:r>
              <w:rPr>
                <w:rFonts w:hint="eastAsia"/>
                <w:sz w:val="24"/>
              </w:rPr>
              <w:t>标准必要性和</w:t>
            </w:r>
          </w:p>
          <w:p w14:paraId="25E823D9" w14:textId="77777777" w:rsidR="00C3423D" w:rsidRDefault="00C3423D" w:rsidP="00716538">
            <w:pPr>
              <w:jc w:val="center"/>
              <w:rPr>
                <w:sz w:val="24"/>
              </w:rPr>
            </w:pPr>
            <w:r>
              <w:rPr>
                <w:rFonts w:hint="eastAsia"/>
                <w:sz w:val="24"/>
              </w:rPr>
              <w:t>可行性</w:t>
            </w:r>
          </w:p>
        </w:tc>
        <w:tc>
          <w:tcPr>
            <w:tcW w:w="7255" w:type="dxa"/>
            <w:gridSpan w:val="4"/>
            <w:vAlign w:val="center"/>
          </w:tcPr>
          <w:p w14:paraId="3478A3E0" w14:textId="77777777" w:rsidR="00F80425" w:rsidRPr="00F80425" w:rsidRDefault="00F80425" w:rsidP="00F80425">
            <w:pPr>
              <w:rPr>
                <w:sz w:val="24"/>
              </w:rPr>
            </w:pPr>
            <w:r w:rsidRPr="00F80425">
              <w:rPr>
                <w:rFonts w:hint="eastAsia"/>
                <w:sz w:val="24"/>
              </w:rPr>
              <w:t>必要性：</w:t>
            </w:r>
          </w:p>
          <w:p w14:paraId="3EF14902" w14:textId="77777777" w:rsidR="00F80425" w:rsidRPr="00F80425" w:rsidRDefault="00F80425" w:rsidP="00F80425">
            <w:pPr>
              <w:rPr>
                <w:sz w:val="24"/>
              </w:rPr>
            </w:pPr>
            <w:r w:rsidRPr="00F80425">
              <w:rPr>
                <w:rFonts w:hint="eastAsia"/>
                <w:sz w:val="24"/>
              </w:rPr>
              <w:t>合规与准入：商业化采矿前后必须以可核查的监测证据支撑环境影响判定与调控；数据若不统一，将直接影响许可发放、限值执行与责任边界划定。</w:t>
            </w:r>
          </w:p>
          <w:p w14:paraId="64BCEFB0" w14:textId="77777777" w:rsidR="00F80425" w:rsidRPr="00F80425" w:rsidRDefault="00F80425" w:rsidP="00F80425">
            <w:pPr>
              <w:rPr>
                <w:sz w:val="24"/>
              </w:rPr>
            </w:pPr>
            <w:r w:rsidRPr="00F80425">
              <w:rPr>
                <w:rFonts w:hint="eastAsia"/>
                <w:sz w:val="24"/>
              </w:rPr>
              <w:t>工程执行：现有通用海洋监测规范难以直连采矿工艺链条（采集—提升—回水—排放—羽流—再沉积—生态响应）的监测细化要求，需形成场景化技术标准。</w:t>
            </w:r>
          </w:p>
          <w:p w14:paraId="31AAD475" w14:textId="77777777" w:rsidR="00F80425" w:rsidRPr="00F80425" w:rsidRDefault="00F80425" w:rsidP="00F80425">
            <w:pPr>
              <w:rPr>
                <w:sz w:val="24"/>
              </w:rPr>
            </w:pPr>
            <w:r w:rsidRPr="00F80425">
              <w:rPr>
                <w:rFonts w:hint="eastAsia"/>
                <w:sz w:val="24"/>
              </w:rPr>
              <w:t>数据互认：跨项目、跨航次的方法学一致性与质控闭环是提升审查效率与行业公信的前提。</w:t>
            </w:r>
          </w:p>
          <w:p w14:paraId="3E09D589" w14:textId="77777777" w:rsidR="00F80425" w:rsidRPr="00F80425" w:rsidRDefault="00F80425" w:rsidP="00F80425">
            <w:pPr>
              <w:rPr>
                <w:sz w:val="24"/>
              </w:rPr>
            </w:pPr>
            <w:r w:rsidRPr="00F80425">
              <w:rPr>
                <w:rFonts w:hint="eastAsia"/>
                <w:sz w:val="24"/>
              </w:rPr>
              <w:t>可行性：</w:t>
            </w:r>
          </w:p>
          <w:p w14:paraId="55B3FC6B" w14:textId="4A8D3B5F" w:rsidR="00C3423D" w:rsidRPr="00F80425" w:rsidRDefault="00F80425" w:rsidP="00F80425">
            <w:pPr>
              <w:rPr>
                <w:sz w:val="24"/>
                <w:highlight w:val="yellow"/>
              </w:rPr>
            </w:pPr>
            <w:r w:rsidRPr="00F80425">
              <w:rPr>
                <w:rFonts w:hint="eastAsia"/>
                <w:sz w:val="24"/>
              </w:rPr>
              <w:t>已形成覆盖监测目的/原则、监测要素、监测要求、数据与质量、报告要求的草案框架；监测要素细化至PCV扰动、羽流粒径/载荷/扩散、再沉积厚度、环境DNA、巨型底栖与食腐动物等；并提出报告结构模板与表单化要求，可直接工程化转化。</w:t>
            </w:r>
          </w:p>
        </w:tc>
      </w:tr>
      <w:tr w:rsidR="00C3423D" w14:paraId="0D4B21A5" w14:textId="77777777" w:rsidTr="00505991">
        <w:trPr>
          <w:trHeight w:val="702"/>
          <w:jc w:val="center"/>
        </w:trPr>
        <w:tc>
          <w:tcPr>
            <w:tcW w:w="1980" w:type="dxa"/>
            <w:vAlign w:val="center"/>
          </w:tcPr>
          <w:p w14:paraId="70DC27C4" w14:textId="77777777" w:rsidR="00C3423D" w:rsidRDefault="00C3423D" w:rsidP="00716538">
            <w:pPr>
              <w:jc w:val="center"/>
              <w:rPr>
                <w:rFonts w:ascii="宋体" w:hAnsi="宋体" w:hint="eastAsia"/>
                <w:sz w:val="24"/>
              </w:rPr>
            </w:pPr>
            <w:r>
              <w:rPr>
                <w:rFonts w:ascii="宋体" w:hAnsi="宋体" w:hint="eastAsia"/>
                <w:sz w:val="24"/>
              </w:rPr>
              <w:lastRenderedPageBreak/>
              <w:t>国内外情况</w:t>
            </w:r>
          </w:p>
          <w:p w14:paraId="48EE73A1" w14:textId="77777777" w:rsidR="00C3423D" w:rsidRDefault="00C3423D" w:rsidP="00716538">
            <w:pPr>
              <w:jc w:val="center"/>
              <w:rPr>
                <w:sz w:val="24"/>
              </w:rPr>
            </w:pPr>
            <w:r>
              <w:rPr>
                <w:rFonts w:ascii="宋体" w:hAnsi="宋体" w:hint="eastAsia"/>
                <w:sz w:val="24"/>
              </w:rPr>
              <w:t>简要说明</w:t>
            </w:r>
          </w:p>
        </w:tc>
        <w:tc>
          <w:tcPr>
            <w:tcW w:w="7255" w:type="dxa"/>
            <w:gridSpan w:val="4"/>
            <w:vAlign w:val="center"/>
          </w:tcPr>
          <w:p w14:paraId="7BD0C846" w14:textId="77777777" w:rsidR="00F80425" w:rsidRPr="00F80425" w:rsidRDefault="00F80425" w:rsidP="00F80425">
            <w:pPr>
              <w:rPr>
                <w:sz w:val="24"/>
              </w:rPr>
            </w:pPr>
            <w:r w:rsidRPr="00F80425">
              <w:rPr>
                <w:rFonts w:hint="eastAsia"/>
                <w:sz w:val="24"/>
              </w:rPr>
              <w:t>国内通用规范：GB/T 17378《海洋监测规范》系列对物理、化学、生物与沉积物监测提供通用方法学与QA/QC框架；GB/T 42629-2023《国际海底区域和公海环境调查规程》覆盖深海/公海环境调查通则与分项，为国际海底区域研究提供技术基础。</w:t>
            </w:r>
          </w:p>
          <w:p w14:paraId="008038CF" w14:textId="77777777" w:rsidR="00F80425" w:rsidRPr="00F80425" w:rsidRDefault="00F80425" w:rsidP="00F80425">
            <w:pPr>
              <w:rPr>
                <w:sz w:val="24"/>
              </w:rPr>
            </w:pPr>
            <w:r w:rsidRPr="00F80425">
              <w:rPr>
                <w:rFonts w:hint="eastAsia"/>
                <w:sz w:val="24"/>
              </w:rPr>
              <w:t>联系与区别：上述标准强调监测过程标准化、数据可比性与质量控制，但未形成对深海采矿工艺链条的场景化监测要求（如采矿车扰动参数、羽流三维结构及再沉积、回水系统对总生物量的影响、近底光/噪声干扰、生物体内金属及食物网等）。</w:t>
            </w:r>
          </w:p>
          <w:p w14:paraId="7ED6B0D7" w14:textId="4CE6B3D3" w:rsidR="00C3423D" w:rsidRPr="00F80425" w:rsidRDefault="00F80425" w:rsidP="00F80425">
            <w:pPr>
              <w:rPr>
                <w:sz w:val="24"/>
                <w:highlight w:val="yellow"/>
              </w:rPr>
            </w:pPr>
            <w:r w:rsidRPr="00F80425">
              <w:rPr>
                <w:rFonts w:hint="eastAsia"/>
                <w:sz w:val="24"/>
              </w:rPr>
              <w:t>本标准定位：在承接 GB/T 系列与国际流程框架基础上，对齐深海采矿作业场景，把“程序框架”转译为“要素—布点/频次—设备/方法—数据处理/不确定度—报告模板”的工程化条款与表单。</w:t>
            </w:r>
          </w:p>
        </w:tc>
      </w:tr>
      <w:tr w:rsidR="00C3423D" w14:paraId="33F0B635" w14:textId="77777777" w:rsidTr="00505991">
        <w:trPr>
          <w:trHeight w:val="1017"/>
          <w:jc w:val="center"/>
        </w:trPr>
        <w:tc>
          <w:tcPr>
            <w:tcW w:w="1980" w:type="dxa"/>
            <w:vAlign w:val="center"/>
          </w:tcPr>
          <w:p w14:paraId="16565C09" w14:textId="77777777" w:rsidR="00C3423D" w:rsidRDefault="00C3423D" w:rsidP="00716538">
            <w:pPr>
              <w:jc w:val="center"/>
              <w:rPr>
                <w:sz w:val="24"/>
              </w:rPr>
            </w:pPr>
            <w:r>
              <w:rPr>
                <w:rFonts w:hint="eastAsia"/>
                <w:sz w:val="24"/>
              </w:rPr>
              <w:t>标准适用范围</w:t>
            </w:r>
          </w:p>
          <w:p w14:paraId="0A157561" w14:textId="77777777" w:rsidR="00C3423D" w:rsidRDefault="00C3423D" w:rsidP="00716538">
            <w:pPr>
              <w:jc w:val="center"/>
              <w:rPr>
                <w:sz w:val="24"/>
              </w:rPr>
            </w:pPr>
            <w:r>
              <w:rPr>
                <w:rFonts w:hint="eastAsia"/>
                <w:sz w:val="24"/>
              </w:rPr>
              <w:t>和主要技术内容</w:t>
            </w:r>
          </w:p>
        </w:tc>
        <w:tc>
          <w:tcPr>
            <w:tcW w:w="7255" w:type="dxa"/>
            <w:gridSpan w:val="4"/>
            <w:vAlign w:val="center"/>
          </w:tcPr>
          <w:p w14:paraId="09F5C0C3" w14:textId="38BDB9FD" w:rsidR="00C3423D" w:rsidRPr="00F80425" w:rsidRDefault="00F80425" w:rsidP="00505991">
            <w:pPr>
              <w:rPr>
                <w:iCs/>
                <w:sz w:val="24"/>
              </w:rPr>
            </w:pPr>
            <w:r w:rsidRPr="00F80425">
              <w:rPr>
                <w:rFonts w:hint="eastAsia"/>
                <w:iCs/>
                <w:sz w:val="24"/>
              </w:rPr>
              <w:t>本标准适用于在进行勘探和开发活动期内评估深海采矿活动对海洋环境造成的影响。本标准主要规定了深海采矿环境影响监测工作的监测目的和原则、监测要素、监测要求、监测方法、数据与质量、报告要求等内容。</w:t>
            </w:r>
          </w:p>
        </w:tc>
      </w:tr>
      <w:tr w:rsidR="00C3423D" w14:paraId="669C3BF2" w14:textId="77777777" w:rsidTr="00505991">
        <w:trPr>
          <w:trHeight w:val="955"/>
          <w:jc w:val="center"/>
        </w:trPr>
        <w:tc>
          <w:tcPr>
            <w:tcW w:w="1980" w:type="dxa"/>
            <w:vAlign w:val="center"/>
          </w:tcPr>
          <w:p w14:paraId="348AE007" w14:textId="77777777" w:rsidR="00C3423D" w:rsidRDefault="00C3423D" w:rsidP="00716538">
            <w:pPr>
              <w:widowControl/>
              <w:jc w:val="center"/>
              <w:rPr>
                <w:rFonts w:ascii="宋体" w:hAnsi="宋体" w:hint="eastAsia"/>
                <w:sz w:val="24"/>
              </w:rPr>
            </w:pPr>
            <w:r>
              <w:rPr>
                <w:rFonts w:ascii="宋体" w:hAnsi="宋体" w:hint="eastAsia"/>
                <w:sz w:val="24"/>
              </w:rPr>
              <w:t>工作进度安排</w:t>
            </w:r>
          </w:p>
        </w:tc>
        <w:tc>
          <w:tcPr>
            <w:tcW w:w="7255" w:type="dxa"/>
            <w:gridSpan w:val="4"/>
            <w:vAlign w:val="center"/>
          </w:tcPr>
          <w:p w14:paraId="4E36522C" w14:textId="77777777" w:rsidR="00F80425" w:rsidRPr="00F80425" w:rsidRDefault="00F80425" w:rsidP="00F80425">
            <w:pPr>
              <w:rPr>
                <w:sz w:val="24"/>
              </w:rPr>
            </w:pPr>
            <w:r w:rsidRPr="00F80425">
              <w:rPr>
                <w:rFonts w:hint="eastAsia"/>
                <w:sz w:val="24"/>
              </w:rPr>
              <w:t>M1–M2（框架确定）：对草案条款一致性审查与差距分析；形成送审结构大纲与术语表；确定记录/质控表单与数据字典初稿。</w:t>
            </w:r>
          </w:p>
          <w:p w14:paraId="05C8589A" w14:textId="77777777" w:rsidR="00F80425" w:rsidRPr="00F80425" w:rsidRDefault="00F80425" w:rsidP="00F80425">
            <w:pPr>
              <w:rPr>
                <w:sz w:val="24"/>
              </w:rPr>
            </w:pPr>
            <w:r w:rsidRPr="00F80425">
              <w:rPr>
                <w:rFonts w:hint="eastAsia"/>
                <w:sz w:val="24"/>
              </w:rPr>
              <w:t>M3–M5（方法与表单）：细化监测要素、布点/频次分级、设备/方法清单；补充不确定度评估与仪器校准条款；形成征求意见稿（V0.5）。</w:t>
            </w:r>
          </w:p>
          <w:p w14:paraId="643B8943" w14:textId="77777777" w:rsidR="00F80425" w:rsidRPr="00F80425" w:rsidRDefault="00F80425" w:rsidP="00F80425">
            <w:pPr>
              <w:rPr>
                <w:sz w:val="24"/>
              </w:rPr>
            </w:pPr>
            <w:r w:rsidRPr="00F80425">
              <w:rPr>
                <w:rFonts w:hint="eastAsia"/>
                <w:sz w:val="24"/>
              </w:rPr>
              <w:t>M6–M7（验证与征求）：组织方法学小型比对试验与可操作性验证；行业征求与修改（V0.8）。</w:t>
            </w:r>
          </w:p>
          <w:p w14:paraId="3B10E27B" w14:textId="77777777" w:rsidR="00F80425" w:rsidRPr="00F80425" w:rsidRDefault="00F80425" w:rsidP="00F80425">
            <w:pPr>
              <w:rPr>
                <w:sz w:val="24"/>
              </w:rPr>
            </w:pPr>
            <w:r w:rsidRPr="00F80425">
              <w:rPr>
                <w:rFonts w:hint="eastAsia"/>
                <w:sz w:val="24"/>
              </w:rPr>
              <w:t>M8–M9（审查）：送审稿与技术审查会；根据意见修订。</w:t>
            </w:r>
          </w:p>
          <w:p w14:paraId="0DB152B8" w14:textId="77777777" w:rsidR="00F80425" w:rsidRPr="00F80425" w:rsidRDefault="00F80425" w:rsidP="00F80425">
            <w:pPr>
              <w:rPr>
                <w:sz w:val="24"/>
              </w:rPr>
            </w:pPr>
            <w:r w:rsidRPr="00F80425">
              <w:rPr>
                <w:rFonts w:hint="eastAsia"/>
                <w:sz w:val="24"/>
              </w:rPr>
              <w:t>M10–M11（报批）：形成报批稿并完成出版要素。</w:t>
            </w:r>
          </w:p>
          <w:p w14:paraId="4EC13F0A" w14:textId="4C465B6D" w:rsidR="00505991" w:rsidRPr="00F80425" w:rsidRDefault="00F80425" w:rsidP="00F80425">
            <w:pPr>
              <w:rPr>
                <w:sz w:val="24"/>
              </w:rPr>
            </w:pPr>
            <w:r w:rsidRPr="00F80425">
              <w:rPr>
                <w:rFonts w:hint="eastAsia"/>
                <w:sz w:val="24"/>
              </w:rPr>
              <w:t>M12（发布）：发布并开展培训宣贯。</w:t>
            </w:r>
          </w:p>
        </w:tc>
      </w:tr>
      <w:tr w:rsidR="00C3423D" w14:paraId="377078E7" w14:textId="77777777" w:rsidTr="00505991">
        <w:trPr>
          <w:trHeight w:val="1035"/>
          <w:jc w:val="center"/>
        </w:trPr>
        <w:tc>
          <w:tcPr>
            <w:tcW w:w="1980" w:type="dxa"/>
            <w:vAlign w:val="center"/>
          </w:tcPr>
          <w:p w14:paraId="12B4A08A" w14:textId="77777777" w:rsidR="00C3423D" w:rsidRDefault="00C3423D" w:rsidP="00716538">
            <w:pPr>
              <w:widowControl/>
              <w:jc w:val="center"/>
              <w:rPr>
                <w:rFonts w:ascii="宋体" w:hAnsi="宋体" w:hint="eastAsia"/>
                <w:sz w:val="24"/>
              </w:rPr>
            </w:pPr>
            <w:r>
              <w:rPr>
                <w:rFonts w:ascii="宋体" w:hAnsi="宋体" w:hint="eastAsia"/>
                <w:sz w:val="24"/>
              </w:rPr>
              <w:t>标准预期实施</w:t>
            </w:r>
          </w:p>
          <w:p w14:paraId="367F77A5" w14:textId="77777777" w:rsidR="00C3423D" w:rsidRDefault="00C3423D" w:rsidP="00716538">
            <w:pPr>
              <w:widowControl/>
              <w:jc w:val="center"/>
              <w:rPr>
                <w:rFonts w:ascii="宋体" w:hAnsi="宋体" w:hint="eastAsia"/>
                <w:sz w:val="24"/>
              </w:rPr>
            </w:pPr>
            <w:r>
              <w:rPr>
                <w:rFonts w:ascii="宋体" w:hAnsi="宋体" w:hint="eastAsia"/>
                <w:sz w:val="24"/>
              </w:rPr>
              <w:t>应用方案</w:t>
            </w:r>
          </w:p>
        </w:tc>
        <w:tc>
          <w:tcPr>
            <w:tcW w:w="7255" w:type="dxa"/>
            <w:gridSpan w:val="4"/>
            <w:vAlign w:val="center"/>
          </w:tcPr>
          <w:p w14:paraId="52049377" w14:textId="77777777" w:rsidR="004A4FDF" w:rsidRPr="004A4FDF" w:rsidRDefault="004A4FDF" w:rsidP="004A4FDF">
            <w:pPr>
              <w:rPr>
                <w:sz w:val="24"/>
              </w:rPr>
            </w:pPr>
            <w:r w:rsidRPr="004A4FDF">
              <w:rPr>
                <w:rFonts w:hint="eastAsia"/>
                <w:sz w:val="24"/>
              </w:rPr>
              <w:t>应用路径：配套发布记录/质控表单与SOP附件，为企业监测外包与内部执行提供“拿来即用”的操作底稿；与监管部门核查要点清单对齐，提升审查效率。</w:t>
            </w:r>
          </w:p>
          <w:p w14:paraId="75A3E9D7" w14:textId="77777777" w:rsidR="004A4FDF" w:rsidRPr="004A4FDF" w:rsidRDefault="004A4FDF" w:rsidP="004A4FDF">
            <w:pPr>
              <w:rPr>
                <w:sz w:val="24"/>
              </w:rPr>
            </w:pPr>
            <w:r w:rsidRPr="004A4FDF">
              <w:rPr>
                <w:rFonts w:hint="eastAsia"/>
                <w:sz w:val="24"/>
              </w:rPr>
              <w:t>能力建设：开展一次行业宣贯与两次专题培训（羽流三维监测、生态响应指标），推动方法一致性。</w:t>
            </w:r>
          </w:p>
          <w:p w14:paraId="64AD3E23" w14:textId="77777777" w:rsidR="004A4FDF" w:rsidRPr="004A4FDF" w:rsidRDefault="004A4FDF" w:rsidP="004A4FDF">
            <w:pPr>
              <w:rPr>
                <w:sz w:val="24"/>
              </w:rPr>
            </w:pPr>
            <w:r w:rsidRPr="004A4FDF">
              <w:rPr>
                <w:rFonts w:hint="eastAsia"/>
                <w:sz w:val="24"/>
              </w:rPr>
              <w:t>数据互认：建立元数据最小集与不确定度报告规范，便于跨项目对比与共享。</w:t>
            </w:r>
          </w:p>
          <w:p w14:paraId="531DC08B" w14:textId="576F03F8" w:rsidR="00C3423D" w:rsidRPr="00505991" w:rsidRDefault="004A4FDF" w:rsidP="004A4FDF">
            <w:pPr>
              <w:rPr>
                <w:i/>
                <w:iCs/>
                <w:sz w:val="24"/>
              </w:rPr>
            </w:pPr>
            <w:r w:rsidRPr="004A4FDF">
              <w:rPr>
                <w:rFonts w:hint="eastAsia"/>
                <w:sz w:val="24"/>
              </w:rPr>
              <w:t>持续更新：结合试采项目监测结果评估条款执行性，必要时开展修订。</w:t>
            </w:r>
          </w:p>
        </w:tc>
      </w:tr>
      <w:tr w:rsidR="00C3423D" w14:paraId="0B7CC006" w14:textId="77777777" w:rsidTr="00505991">
        <w:trPr>
          <w:trHeight w:val="512"/>
          <w:jc w:val="center"/>
        </w:trPr>
        <w:tc>
          <w:tcPr>
            <w:tcW w:w="1980" w:type="dxa"/>
            <w:vAlign w:val="center"/>
          </w:tcPr>
          <w:p w14:paraId="70DAF8AD" w14:textId="77777777" w:rsidR="00C3423D" w:rsidRPr="004A4FDF" w:rsidRDefault="00C3423D" w:rsidP="00716538">
            <w:pPr>
              <w:widowControl/>
              <w:jc w:val="center"/>
              <w:rPr>
                <w:rFonts w:ascii="宋体" w:hAnsi="宋体" w:hint="eastAsia"/>
                <w:sz w:val="24"/>
              </w:rPr>
            </w:pPr>
            <w:r w:rsidRPr="004A4FDF">
              <w:rPr>
                <w:rFonts w:ascii="宋体" w:hAnsi="宋体" w:hint="eastAsia"/>
                <w:sz w:val="24"/>
              </w:rPr>
              <w:t>经费保障</w:t>
            </w:r>
          </w:p>
        </w:tc>
        <w:tc>
          <w:tcPr>
            <w:tcW w:w="7255" w:type="dxa"/>
            <w:gridSpan w:val="4"/>
            <w:vAlign w:val="center"/>
          </w:tcPr>
          <w:p w14:paraId="1B82FEFC" w14:textId="12A42E3F" w:rsidR="00C3423D" w:rsidRPr="004A4FDF" w:rsidRDefault="004A4FDF" w:rsidP="00505991">
            <w:pPr>
              <w:rPr>
                <w:sz w:val="24"/>
              </w:rPr>
            </w:pPr>
            <w:r w:rsidRPr="004A4FDF">
              <w:rPr>
                <w:rFonts w:hint="eastAsia"/>
                <w:sz w:val="24"/>
              </w:rPr>
              <w:t>是</w:t>
            </w:r>
          </w:p>
        </w:tc>
      </w:tr>
      <w:tr w:rsidR="00C3423D" w14:paraId="6E19B15B" w14:textId="77777777" w:rsidTr="00505991">
        <w:trPr>
          <w:trHeight w:val="1134"/>
          <w:jc w:val="center"/>
        </w:trPr>
        <w:tc>
          <w:tcPr>
            <w:tcW w:w="1980" w:type="dxa"/>
            <w:vAlign w:val="center"/>
          </w:tcPr>
          <w:p w14:paraId="4BDF5BAE" w14:textId="77777777" w:rsidR="00C3423D" w:rsidRDefault="00C3423D" w:rsidP="00716538">
            <w:pPr>
              <w:widowControl/>
              <w:jc w:val="center"/>
              <w:rPr>
                <w:rFonts w:ascii="宋体" w:hAnsi="宋体" w:hint="eastAsia"/>
                <w:sz w:val="24"/>
              </w:rPr>
            </w:pPr>
            <w:r>
              <w:rPr>
                <w:rFonts w:ascii="宋体" w:hAnsi="宋体" w:hint="eastAsia"/>
                <w:sz w:val="24"/>
              </w:rPr>
              <w:t>技术基础及</w:t>
            </w:r>
          </w:p>
          <w:p w14:paraId="52CCF036" w14:textId="77777777" w:rsidR="00C3423D" w:rsidRDefault="00C3423D" w:rsidP="00716538">
            <w:pPr>
              <w:widowControl/>
              <w:jc w:val="center"/>
              <w:rPr>
                <w:rFonts w:ascii="宋体" w:hAnsi="宋体" w:hint="eastAsia"/>
                <w:sz w:val="24"/>
              </w:rPr>
            </w:pPr>
            <w:r>
              <w:rPr>
                <w:rFonts w:ascii="宋体" w:hAnsi="宋体" w:hint="eastAsia"/>
                <w:sz w:val="24"/>
              </w:rPr>
              <w:t>研究团队</w:t>
            </w:r>
          </w:p>
        </w:tc>
        <w:tc>
          <w:tcPr>
            <w:tcW w:w="7255" w:type="dxa"/>
            <w:gridSpan w:val="4"/>
            <w:vAlign w:val="center"/>
          </w:tcPr>
          <w:p w14:paraId="71DC5104" w14:textId="78A5D7AF" w:rsidR="004A4FDF" w:rsidRPr="004A4FDF" w:rsidRDefault="004A4FDF" w:rsidP="004A4FDF">
            <w:pPr>
              <w:rPr>
                <w:sz w:val="24"/>
              </w:rPr>
            </w:pPr>
            <w:r w:rsidRPr="004A4FDF">
              <w:rPr>
                <w:rFonts w:hint="eastAsia"/>
                <w:sz w:val="24"/>
              </w:rPr>
              <w:t>依托单位具备深海观测与海洋环境监测的仪器集成、航次组织、数据处理与 QA/QC 体系能力，熟悉 GB/T 17378 与 GB/T 42629-2023 等相关规范，并已完成“深海采矿环境影响监测要求”草案体系化梳理，可直接转化为团标文本与配套表单。建议团队结构：</w:t>
            </w:r>
          </w:p>
          <w:p w14:paraId="6D6D7131" w14:textId="77777777" w:rsidR="004A4FDF" w:rsidRPr="004A4FDF" w:rsidRDefault="004A4FDF" w:rsidP="004A4FDF">
            <w:pPr>
              <w:rPr>
                <w:sz w:val="24"/>
              </w:rPr>
            </w:pPr>
            <w:r w:rsidRPr="004A4FDF">
              <w:rPr>
                <w:rFonts w:hint="eastAsia"/>
                <w:sz w:val="24"/>
              </w:rPr>
              <w:t>方法学与设备组：流体/颗粒—声学—光学—化学监测方法与校准；</w:t>
            </w:r>
          </w:p>
          <w:p w14:paraId="7A3267D5" w14:textId="77777777" w:rsidR="004A4FDF" w:rsidRPr="004A4FDF" w:rsidRDefault="004A4FDF" w:rsidP="004A4FDF">
            <w:pPr>
              <w:rPr>
                <w:sz w:val="24"/>
              </w:rPr>
            </w:pPr>
            <w:r w:rsidRPr="004A4FDF">
              <w:rPr>
                <w:rFonts w:hint="eastAsia"/>
                <w:sz w:val="24"/>
              </w:rPr>
              <w:t>生态与生物组：浮游/底栖/食腐/发光生物、食物网与稳定同位素；</w:t>
            </w:r>
          </w:p>
          <w:p w14:paraId="24DD907F" w14:textId="77777777" w:rsidR="004A4FDF" w:rsidRPr="004A4FDF" w:rsidRDefault="004A4FDF" w:rsidP="004A4FDF">
            <w:pPr>
              <w:rPr>
                <w:sz w:val="24"/>
              </w:rPr>
            </w:pPr>
            <w:r w:rsidRPr="004A4FDF">
              <w:rPr>
                <w:rFonts w:hint="eastAsia"/>
                <w:sz w:val="24"/>
              </w:rPr>
              <w:t>数据与质控组：数据字典、元数据、质控与不确定度评价、可视化；</w:t>
            </w:r>
          </w:p>
          <w:p w14:paraId="1B2824D5" w14:textId="2525A47F" w:rsidR="00C3423D" w:rsidRPr="00505991" w:rsidRDefault="004A4FDF" w:rsidP="004A4FDF">
            <w:pPr>
              <w:rPr>
                <w:i/>
                <w:iCs/>
                <w:sz w:val="24"/>
              </w:rPr>
            </w:pPr>
            <w:r w:rsidRPr="004A4FDF">
              <w:rPr>
                <w:rFonts w:hint="eastAsia"/>
                <w:sz w:val="24"/>
              </w:rPr>
              <w:t>报告与合规组：报告模板、算例、合规核查指引。</w:t>
            </w:r>
          </w:p>
        </w:tc>
      </w:tr>
      <w:tr w:rsidR="00C3423D" w14:paraId="34F4C41A" w14:textId="77777777" w:rsidTr="00505991">
        <w:trPr>
          <w:trHeight w:val="1124"/>
          <w:jc w:val="center"/>
        </w:trPr>
        <w:tc>
          <w:tcPr>
            <w:tcW w:w="1980" w:type="dxa"/>
            <w:vAlign w:val="center"/>
          </w:tcPr>
          <w:p w14:paraId="6AB5CFD1" w14:textId="77777777" w:rsidR="00C3423D" w:rsidRDefault="00C3423D" w:rsidP="00716538">
            <w:pPr>
              <w:jc w:val="center"/>
              <w:rPr>
                <w:rFonts w:ascii="宋体" w:hAnsi="宋体" w:hint="eastAsia"/>
                <w:sz w:val="24"/>
              </w:rPr>
            </w:pPr>
            <w:r>
              <w:rPr>
                <w:rFonts w:ascii="宋体" w:hAnsi="宋体" w:hint="eastAsia"/>
                <w:sz w:val="24"/>
              </w:rPr>
              <w:lastRenderedPageBreak/>
              <w:t>申请立项单位</w:t>
            </w:r>
          </w:p>
          <w:p w14:paraId="5BF26429" w14:textId="77777777" w:rsidR="00C3423D" w:rsidRDefault="00C3423D" w:rsidP="00716538">
            <w:pPr>
              <w:jc w:val="center"/>
              <w:rPr>
                <w:rFonts w:ascii="宋体" w:hAnsi="宋体" w:hint="eastAsia"/>
                <w:sz w:val="24"/>
              </w:rPr>
            </w:pPr>
            <w:r>
              <w:rPr>
                <w:rFonts w:ascii="宋体" w:hAnsi="宋体" w:hint="eastAsia"/>
                <w:sz w:val="24"/>
              </w:rPr>
              <w:t>意见</w:t>
            </w:r>
          </w:p>
        </w:tc>
        <w:tc>
          <w:tcPr>
            <w:tcW w:w="7255" w:type="dxa"/>
            <w:gridSpan w:val="4"/>
            <w:vAlign w:val="bottom"/>
          </w:tcPr>
          <w:p w14:paraId="7CF94D8F" w14:textId="77777777" w:rsidR="00C3423D" w:rsidRDefault="00C3423D" w:rsidP="00716538">
            <w:pPr>
              <w:wordWrap w:val="0"/>
              <w:jc w:val="right"/>
              <w:rPr>
                <w:sz w:val="24"/>
              </w:rPr>
            </w:pPr>
            <w:r>
              <w:rPr>
                <w:rFonts w:hint="eastAsia"/>
                <w:sz w:val="24"/>
              </w:rPr>
              <w:t xml:space="preserve">（盖章）                                          </w:t>
            </w:r>
          </w:p>
          <w:p w14:paraId="032170E5" w14:textId="77777777" w:rsidR="00C3423D" w:rsidRDefault="00C3423D" w:rsidP="00716538">
            <w:pPr>
              <w:jc w:val="right"/>
              <w:rPr>
                <w:rFonts w:ascii="黑体" w:eastAsia="黑体" w:hAnsi="宋体" w:hint="eastAsia"/>
                <w:color w:val="000000"/>
                <w:sz w:val="24"/>
              </w:rPr>
            </w:pPr>
            <w:r>
              <w:rPr>
                <w:rFonts w:hint="eastAsia"/>
                <w:sz w:val="24"/>
              </w:rPr>
              <w:t>年   月   日</w:t>
            </w:r>
          </w:p>
        </w:tc>
      </w:tr>
    </w:tbl>
    <w:p w14:paraId="2D13FB28" w14:textId="77777777" w:rsidR="005E7D40" w:rsidRPr="00C3423D" w:rsidRDefault="00C3423D" w:rsidP="00C3423D">
      <w:pPr>
        <w:jc w:val="left"/>
        <w:rPr>
          <w:rFonts w:ascii="仿宋_GB2312" w:eastAsia="仿宋_GB2312"/>
          <w:sz w:val="24"/>
        </w:rPr>
      </w:pPr>
      <w:r>
        <w:rPr>
          <w:rFonts w:hAnsiTheme="minorEastAsia" w:hint="eastAsia"/>
        </w:rPr>
        <w:t>注：如本表空间不够，可另附页。</w:t>
      </w:r>
    </w:p>
    <w:sectPr w:rsidR="005E7D40" w:rsidRPr="00C342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351A0" w14:textId="77777777" w:rsidR="00EA620F" w:rsidRDefault="00EA620F" w:rsidP="00C3423D">
      <w:r>
        <w:separator/>
      </w:r>
    </w:p>
  </w:endnote>
  <w:endnote w:type="continuationSeparator" w:id="0">
    <w:p w14:paraId="69713DCE" w14:textId="77777777" w:rsidR="00EA620F" w:rsidRDefault="00EA620F" w:rsidP="00C34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05365" w14:textId="77777777" w:rsidR="00EA620F" w:rsidRDefault="00EA620F" w:rsidP="00C3423D">
      <w:r>
        <w:separator/>
      </w:r>
    </w:p>
  </w:footnote>
  <w:footnote w:type="continuationSeparator" w:id="0">
    <w:p w14:paraId="1CDBBA52" w14:textId="77777777" w:rsidR="00EA620F" w:rsidRDefault="00EA620F" w:rsidP="00C342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E3NGM4NmY1MTk1MDk2NTNiMjc3M2IzNDk5N2FhNDYifQ=="/>
  </w:docVars>
  <w:rsids>
    <w:rsidRoot w:val="00EB3B78"/>
    <w:rsid w:val="00272809"/>
    <w:rsid w:val="003F0615"/>
    <w:rsid w:val="004A4FDF"/>
    <w:rsid w:val="00505991"/>
    <w:rsid w:val="005E7D40"/>
    <w:rsid w:val="00632638"/>
    <w:rsid w:val="006771A0"/>
    <w:rsid w:val="007F228C"/>
    <w:rsid w:val="00837D5D"/>
    <w:rsid w:val="00915110"/>
    <w:rsid w:val="00982D4E"/>
    <w:rsid w:val="00B179E9"/>
    <w:rsid w:val="00B439F8"/>
    <w:rsid w:val="00B55869"/>
    <w:rsid w:val="00BF659F"/>
    <w:rsid w:val="00C3423D"/>
    <w:rsid w:val="00E27788"/>
    <w:rsid w:val="00E56000"/>
    <w:rsid w:val="00EA620F"/>
    <w:rsid w:val="00EB3B78"/>
    <w:rsid w:val="00EC1447"/>
    <w:rsid w:val="00F80425"/>
    <w:rsid w:val="00FC22B1"/>
    <w:rsid w:val="01D65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3131AC"/>
  <w15:docId w15:val="{5FB0D872-7809-4EC0-AEAC-1C647C875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EastAsia" w:cs="Times New Roman"/>
      <w:snapToGrid w:val="0"/>
      <w:sz w:val="21"/>
      <w:szCs w:val="21"/>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a5"/>
    <w:uiPriority w:val="99"/>
    <w:unhideWhenUsed/>
    <w:rsid w:val="00C3423D"/>
    <w:pPr>
      <w:tabs>
        <w:tab w:val="center" w:pos="4153"/>
        <w:tab w:val="right" w:pos="8306"/>
      </w:tabs>
      <w:snapToGrid w:val="0"/>
      <w:jc w:val="center"/>
    </w:pPr>
    <w:rPr>
      <w:sz w:val="18"/>
      <w:szCs w:val="18"/>
    </w:rPr>
  </w:style>
  <w:style w:type="character" w:customStyle="1" w:styleId="a5">
    <w:name w:val="页眉 字符"/>
    <w:basedOn w:val="a0"/>
    <w:link w:val="a4"/>
    <w:uiPriority w:val="99"/>
    <w:rsid w:val="00C3423D"/>
    <w:rPr>
      <w:rFonts w:asciiTheme="minorEastAsia" w:cs="Times New Roman"/>
      <w:snapToGrid w:val="0"/>
      <w:sz w:val="18"/>
      <w:szCs w:val="18"/>
      <w:lang w:val="en-GB"/>
    </w:rPr>
  </w:style>
  <w:style w:type="paragraph" w:styleId="a6">
    <w:name w:val="footer"/>
    <w:basedOn w:val="a"/>
    <w:link w:val="a7"/>
    <w:uiPriority w:val="99"/>
    <w:unhideWhenUsed/>
    <w:rsid w:val="00C3423D"/>
    <w:pPr>
      <w:tabs>
        <w:tab w:val="center" w:pos="4153"/>
        <w:tab w:val="right" w:pos="8306"/>
      </w:tabs>
      <w:snapToGrid w:val="0"/>
      <w:jc w:val="left"/>
    </w:pPr>
    <w:rPr>
      <w:sz w:val="18"/>
      <w:szCs w:val="18"/>
    </w:rPr>
  </w:style>
  <w:style w:type="character" w:customStyle="1" w:styleId="a7">
    <w:name w:val="页脚 字符"/>
    <w:basedOn w:val="a0"/>
    <w:link w:val="a6"/>
    <w:uiPriority w:val="99"/>
    <w:rsid w:val="00C3423D"/>
    <w:rPr>
      <w:rFonts w:asciiTheme="minorEastAsia" w:cs="Times New Roman"/>
      <w:snapToGrid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Pages>
  <Words>325</Words>
  <Characters>1853</Characters>
  <Application>Microsoft Office Word</Application>
  <DocSecurity>0</DocSecurity>
  <Lines>15</Lines>
  <Paragraphs>4</Paragraphs>
  <ScaleCrop>false</ScaleCrop>
  <Company>Microsoft</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yan biao</cp:lastModifiedBy>
  <cp:revision>11</cp:revision>
  <dcterms:created xsi:type="dcterms:W3CDTF">2022-08-15T06:27:00Z</dcterms:created>
  <dcterms:modified xsi:type="dcterms:W3CDTF">2025-09-22T02:46:00Z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2052-11.1.0.11797</vt:lpwstr>
  </property>
  <property fmtid="{D5CDD505-2E9C-101B-9397-08002B2CF9AE}" pid="3" name="ICV">
    <vt:lpwstr>0A99FF815B694A5EA2DF4C6F1DFF22E9</vt:lpwstr>
  </property>
</Properties>
</file>